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D8647C" w:rsidP="00D8647C">
      <w:pPr>
        <w:jc w:val="center"/>
      </w:pPr>
      <w:r>
        <w:t>AFRODEM. RESOLUCION 149 DE 13 DE MARZO DE 2009 (2)</w:t>
      </w:r>
    </w:p>
    <w:p w:rsidR="00D8647C" w:rsidRDefault="00D8647C" w:rsidP="00D8647C">
      <w:pPr>
        <w:jc w:val="center"/>
      </w:pPr>
    </w:p>
    <w:p w:rsidR="00D8647C" w:rsidRDefault="00D8647C" w:rsidP="00D8647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3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47C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47C"/>
    <w:rsid w:val="00175D9A"/>
    <w:rsid w:val="00450C78"/>
    <w:rsid w:val="00B4073E"/>
    <w:rsid w:val="00BB6033"/>
    <w:rsid w:val="00D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afro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2014-03-19T07:42:00Z</dcterms:created>
  <dcterms:modified xsi:type="dcterms:W3CDTF">2014-03-19T07:45:00Z</dcterms:modified>
</cp:coreProperties>
</file>