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D10E6C" w:rsidP="00D77E80">
            <w:pPr>
              <w:jc w:val="center"/>
            </w:pPr>
            <w:r>
              <w:t>LECCIONES APRENDIDAS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D10E6C" w:rsidRDefault="00D10E6C" w:rsidP="00D10E6C">
      <w:pPr>
        <w:autoSpaceDE w:val="0"/>
        <w:autoSpaceDN w:val="0"/>
        <w:adjustRightInd w:val="0"/>
        <w:ind w:left="-1134"/>
        <w:jc w:val="left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MESA 1: LECCIONES APRENDIDAS.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Este componente tiene como objeto realizar una evaluaci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sobre el recorrido hist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rico del movimiento organizativo afrocolombiano, las lecciones aprendidas apuntando a precisar los entendimientos y conocimientos del proceso organizativo con ocasi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sus fortalezas, logros, limitaciones, dificultades y desaf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os. Si bien se estima la identificaci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aspectos positivos y negativos de la experiencia organizativa afrocolombiana; tambi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n se hace obligatorio considerar, en el 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mbito del an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lisis, al Estado como garante de los derechos.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En primer momento, abordar las experiencias y aprendizajes en materia de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n, interlocuci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el ejercicio del derecho de la consulta previa. En segundo momento, plantear las fallas en la adopci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 implementaci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las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ticas p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blicas u obligaciones del Estado. Finalmente adoptar una clasificaci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componentes encontrados a partir de lo que se conoce como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buenas pr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cticas y malas pr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cticas.</w:t>
      </w:r>
    </w:p>
    <w:p w:rsidR="00D10E6C" w:rsidRDefault="00D10E6C" w:rsidP="00D10E6C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Buenas pr</w:t>
      </w:r>
      <w:r>
        <w:rPr>
          <w:rFonts w:ascii="TimesNewRomanPS-BoldMT" w:cs="TimesNewRomanPS-BoldMT" w:hint="cs"/>
          <w:b/>
          <w:bCs/>
          <w:sz w:val="24"/>
          <w:szCs w:val="24"/>
        </w:rPr>
        <w:t>á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cticas: </w:t>
      </w:r>
      <w:r>
        <w:rPr>
          <w:rFonts w:ascii="TimesNewRomanPSMT" w:cs="TimesNewRomanPSMT"/>
          <w:sz w:val="24"/>
          <w:szCs w:val="24"/>
        </w:rPr>
        <w:t xml:space="preserve">son relativas a los caminos eficientes para resolver las dificultades.  </w:t>
      </w:r>
      <w:r>
        <w:rPr>
          <w:rFonts w:ascii="TimesNewRomanPS-BoldMT" w:cs="TimesNewRomanPS-BoldMT"/>
          <w:b/>
          <w:bCs/>
          <w:sz w:val="24"/>
          <w:szCs w:val="24"/>
        </w:rPr>
        <w:t>Malas pr</w:t>
      </w:r>
      <w:r>
        <w:rPr>
          <w:rFonts w:ascii="TimesNewRomanPS-BoldMT" w:cs="TimesNewRomanPS-BoldMT" w:hint="cs"/>
          <w:b/>
          <w:bCs/>
          <w:sz w:val="24"/>
          <w:szCs w:val="24"/>
        </w:rPr>
        <w:t>á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cticas: </w:t>
      </w:r>
      <w:r>
        <w:rPr>
          <w:rFonts w:ascii="TimesNewRomanPSMT" w:cs="TimesNewRomanPSMT"/>
          <w:sz w:val="24"/>
          <w:szCs w:val="24"/>
        </w:rPr>
        <w:t>aquellas que no han permitido avanzar en la soluci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problemas y han limitado el cumplimiento de lo establecido en los acuerdos colectivos.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Preguntas orientadoras: 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valoraci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pueden hacer respecto del proceso organizativo afrocolombiano?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 xml:space="preserve">les son los derechos fundamentales que el Estado debe garantizar a los pueblos 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tnicos?</w:t>
      </w:r>
    </w:p>
    <w:p w:rsidR="00D10E6C" w:rsidRP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espacios de participaci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deber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an implementarse para asegurar la consulta previa?</w:t>
      </w: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D10E6C">
      <w:pgSz w:w="12242" w:h="20163" w:code="5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2F05C0"/>
    <w:rsid w:val="003A618B"/>
    <w:rsid w:val="006E1004"/>
    <w:rsid w:val="00742C62"/>
    <w:rsid w:val="007C3E93"/>
    <w:rsid w:val="009D6D80"/>
    <w:rsid w:val="00A343F0"/>
    <w:rsid w:val="00BA0DA5"/>
    <w:rsid w:val="00BD5323"/>
    <w:rsid w:val="00D10E6C"/>
    <w:rsid w:val="00D36F20"/>
    <w:rsid w:val="00D77E80"/>
    <w:rsid w:val="00D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2013-07-18T21:25:00Z</cp:lastPrinted>
  <dcterms:created xsi:type="dcterms:W3CDTF">2013-07-18T20:46:00Z</dcterms:created>
  <dcterms:modified xsi:type="dcterms:W3CDTF">2013-07-18T21:26:00Z</dcterms:modified>
</cp:coreProperties>
</file>